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80" w:line="231.42857142857142" w:lineRule="auto"/>
        <w:rPr>
          <w:color w:val="222222"/>
          <w:sz w:val="28"/>
          <w:szCs w:val="28"/>
        </w:rPr>
      </w:pPr>
      <w:r w:rsidDel="00000000" w:rsidR="00000000" w:rsidRPr="00000000">
        <w:rPr>
          <w:color w:val="222222"/>
          <w:sz w:val="28"/>
          <w:szCs w:val="28"/>
          <w:rtl w:val="0"/>
        </w:rPr>
        <w:t xml:space="preserve">Título:</w:t>
      </w:r>
    </w:p>
    <w:p w:rsidR="00000000" w:rsidDel="00000000" w:rsidP="00000000" w:rsidRDefault="00000000" w:rsidRPr="00000000" w14:paraId="00000002">
      <w:pPr>
        <w:spacing w:before="280" w:line="231.42857142857142" w:lineRule="auto"/>
        <w:rPr>
          <w:b w:val="1"/>
          <w:color w:val="222222"/>
          <w:sz w:val="28"/>
          <w:szCs w:val="28"/>
        </w:rPr>
      </w:pPr>
      <w:r w:rsidDel="00000000" w:rsidR="00000000" w:rsidRPr="00000000">
        <w:rPr>
          <w:b w:val="1"/>
          <w:color w:val="222222"/>
          <w:sz w:val="28"/>
          <w:szCs w:val="28"/>
          <w:rtl w:val="0"/>
        </w:rPr>
        <w:t xml:space="preserve">El Modelo de Pirie-Kieren, un modelo de comprensión de conceptos matemáticos</w:t>
      </w:r>
    </w:p>
    <w:p w:rsidR="00000000" w:rsidDel="00000000" w:rsidP="00000000" w:rsidRDefault="00000000" w:rsidRPr="00000000" w14:paraId="00000003">
      <w:pPr>
        <w:spacing w:before="280" w:line="231.42857142857142" w:lineRule="auto"/>
        <w:rPr>
          <w:color w:val="222222"/>
          <w:sz w:val="28"/>
          <w:szCs w:val="28"/>
        </w:rPr>
      </w:pPr>
      <w:r w:rsidDel="00000000" w:rsidR="00000000" w:rsidRPr="00000000">
        <w:rPr>
          <w:color w:val="222222"/>
          <w:sz w:val="28"/>
          <w:szCs w:val="28"/>
          <w:rtl w:val="0"/>
        </w:rPr>
        <w:t xml:space="preserve">Resumen:</w:t>
      </w:r>
    </w:p>
    <w:p w:rsidR="00000000" w:rsidDel="00000000" w:rsidP="00000000" w:rsidRDefault="00000000" w:rsidRPr="00000000" w14:paraId="00000004">
      <w:pPr>
        <w:spacing w:before="280" w:line="231.42857142857142" w:lineRule="auto"/>
        <w:rPr>
          <w:color w:val="222222"/>
          <w:sz w:val="28"/>
          <w:szCs w:val="28"/>
        </w:rPr>
      </w:pPr>
      <w:r w:rsidDel="00000000" w:rsidR="00000000" w:rsidRPr="00000000">
        <w:rPr>
          <w:color w:val="222222"/>
          <w:sz w:val="28"/>
          <w:szCs w:val="28"/>
          <w:rtl w:val="0"/>
        </w:rPr>
        <w:t xml:space="preserve">Existen múltiples aproximaciones al concepto de Comprensión [1]. Una de estas aproximaciones es la base del modelo de Pirie y Kieren: «La comprensión matemática se puede definir como estable pero no lineal. Es un fenómeno recursivo, y la recursión parece ocurrir cuando el pensamiento cambia los niveles de sofisticación. De hecho, cada nivel de comprensión se encuentra contenido dentro de los niveles subsiguientes. Cualquier nivel particular depende de las formas y los procesos del mismo y, además, se encuentra restringido por los que están fuera de él.»[2]</w:t>
      </w:r>
    </w:p>
    <w:p w:rsidR="00000000" w:rsidDel="00000000" w:rsidP="00000000" w:rsidRDefault="00000000" w:rsidRPr="00000000" w14:paraId="00000005">
      <w:pPr>
        <w:spacing w:before="280" w:line="231.42857142857142" w:lineRule="auto"/>
        <w:rPr>
          <w:color w:val="222222"/>
          <w:sz w:val="28"/>
          <w:szCs w:val="28"/>
        </w:rPr>
      </w:pPr>
      <w:r w:rsidDel="00000000" w:rsidR="00000000" w:rsidRPr="00000000">
        <w:rPr>
          <w:color w:val="222222"/>
          <w:sz w:val="28"/>
          <w:szCs w:val="28"/>
          <w:rtl w:val="0"/>
        </w:rPr>
        <w:t xml:space="preserve">El de Pirie y Kieren es un modelo de ocho niveles [2, 3]: Conocimiento Primitivo, Creación de Imagen, Comprensión de la Imagen, Observación de la Propiedad, Formalización, Observación, Estructuración, e Invención. Cada uno de estos niveles tiene asociadas las características cognitivas que indican el nivel de comprensión de un determinado concepto por parte de los estudiantes.</w:t>
      </w:r>
    </w:p>
    <w:p w:rsidR="00000000" w:rsidDel="00000000" w:rsidP="00000000" w:rsidRDefault="00000000" w:rsidRPr="00000000" w14:paraId="00000006">
      <w:pPr>
        <w:spacing w:before="280" w:line="231.42857142857142" w:lineRule="auto"/>
        <w:rPr>
          <w:color w:val="222222"/>
          <w:sz w:val="28"/>
          <w:szCs w:val="28"/>
        </w:rPr>
      </w:pPr>
      <w:r w:rsidDel="00000000" w:rsidR="00000000" w:rsidRPr="00000000">
        <w:rPr>
          <w:color w:val="222222"/>
          <w:sz w:val="28"/>
          <w:szCs w:val="28"/>
          <w:rtl w:val="0"/>
        </w:rPr>
        <w:t xml:space="preserve">En esta presentación se explicará los aspectos teóricos básicos del modelo, utilizando las nociones de imagen mental e imagen de concepto de Vinner [4] y se incluirán ejemplos de Navas-López (2022) [5], Gonzales (2022) [6], Gokalp y Bulut (2018) [7] y otros.</w:t>
      </w:r>
    </w:p>
    <w:p w:rsidR="00000000" w:rsidDel="00000000" w:rsidP="00000000" w:rsidRDefault="00000000" w:rsidRPr="00000000" w14:paraId="00000007">
      <w:pPr>
        <w:spacing w:before="280" w:line="231.42857142857142" w:lineRule="auto"/>
        <w:rPr>
          <w:color w:val="222222"/>
          <w:sz w:val="28"/>
          <w:szCs w:val="28"/>
        </w:rPr>
      </w:pPr>
      <w:r w:rsidDel="00000000" w:rsidR="00000000" w:rsidRPr="00000000">
        <w:rPr>
          <w:color w:val="222222"/>
          <w:sz w:val="28"/>
          <w:szCs w:val="28"/>
          <w:rtl w:val="0"/>
        </w:rPr>
        <w:t xml:space="preserve">Finalmente se mencionarán algunos proyectos de investigación en curso, tanto de revisión sistemática como de investigación-acción.</w:t>
      </w:r>
    </w:p>
    <w:p w:rsidR="00000000" w:rsidDel="00000000" w:rsidP="00000000" w:rsidRDefault="00000000" w:rsidRPr="00000000" w14:paraId="00000008">
      <w:pPr>
        <w:spacing w:before="280" w:line="231.42857142857142" w:lineRule="auto"/>
        <w:rPr>
          <w:color w:val="222222"/>
          <w:sz w:val="28"/>
          <w:szCs w:val="28"/>
        </w:rPr>
      </w:pPr>
      <w:r w:rsidDel="00000000" w:rsidR="00000000" w:rsidRPr="00000000">
        <w:rPr>
          <w:color w:val="222222"/>
          <w:sz w:val="28"/>
          <w:szCs w:val="28"/>
          <w:rtl w:val="0"/>
        </w:rPr>
        <w:t xml:space="preserve">Referencias principales:</w:t>
      </w:r>
    </w:p>
    <w:p w:rsidR="00000000" w:rsidDel="00000000" w:rsidP="00000000" w:rsidRDefault="00000000" w:rsidRPr="00000000" w14:paraId="00000009">
      <w:pPr>
        <w:spacing w:before="280" w:line="231.42857142857142" w:lineRule="auto"/>
        <w:rPr>
          <w:color w:val="000080"/>
          <w:sz w:val="28"/>
          <w:szCs w:val="28"/>
          <w:u w:val="single"/>
        </w:rPr>
      </w:pPr>
      <w:r w:rsidDel="00000000" w:rsidR="00000000" w:rsidRPr="00000000">
        <w:rPr>
          <w:color w:val="222222"/>
          <w:sz w:val="28"/>
          <w:szCs w:val="28"/>
          <w:rtl w:val="0"/>
        </w:rPr>
        <w:t xml:space="preserve">[1] Meel, D. E. (2003). Modelos y teorías de la comprensión matemática: Comparación de los modelos de Pirie y Kieren sobre el crecimiento de la comprensión matemática y la Teoría APOE. </w:t>
      </w:r>
      <w:r w:rsidDel="00000000" w:rsidR="00000000" w:rsidRPr="00000000">
        <w:rPr>
          <w:i w:val="1"/>
          <w:color w:val="222222"/>
          <w:sz w:val="28"/>
          <w:szCs w:val="28"/>
          <w:rtl w:val="0"/>
        </w:rPr>
        <w:t xml:space="preserve">Revista Latinoamericana de Investigación en Matemática Educativa, RELIME, 6</w:t>
      </w:r>
      <w:r w:rsidDel="00000000" w:rsidR="00000000" w:rsidRPr="00000000">
        <w:rPr>
          <w:color w:val="222222"/>
          <w:sz w:val="28"/>
          <w:szCs w:val="28"/>
          <w:rtl w:val="0"/>
        </w:rPr>
        <w:t xml:space="preserve">(3), 221-278. </w:t>
      </w:r>
      <w:hyperlink r:id="rId6">
        <w:r w:rsidDel="00000000" w:rsidR="00000000" w:rsidRPr="00000000">
          <w:rPr>
            <w:color w:val="000080"/>
            <w:sz w:val="28"/>
            <w:szCs w:val="28"/>
            <w:u w:val="single"/>
            <w:rtl w:val="0"/>
          </w:rPr>
          <w:t xml:space="preserve">https://relime.org/index.php/relime/article/view/546</w:t>
        </w:r>
      </w:hyperlink>
      <w:r w:rsidDel="00000000" w:rsidR="00000000" w:rsidRPr="00000000">
        <w:rPr>
          <w:rtl w:val="0"/>
        </w:rPr>
      </w:r>
    </w:p>
    <w:p w:rsidR="00000000" w:rsidDel="00000000" w:rsidP="00000000" w:rsidRDefault="00000000" w:rsidRPr="00000000" w14:paraId="0000000A">
      <w:pPr>
        <w:spacing w:before="280" w:line="231.42857142857142" w:lineRule="auto"/>
        <w:rPr>
          <w:color w:val="000080"/>
          <w:sz w:val="28"/>
          <w:szCs w:val="28"/>
          <w:u w:val="single"/>
        </w:rPr>
      </w:pPr>
      <w:r w:rsidDel="00000000" w:rsidR="00000000" w:rsidRPr="00000000">
        <w:rPr>
          <w:color w:val="222222"/>
          <w:sz w:val="28"/>
          <w:szCs w:val="28"/>
          <w:rtl w:val="0"/>
        </w:rPr>
        <w:t xml:space="preserve">[2] Pirie, S. E. B. y Kieren, T. E. (1989). A recursive theory of mathematical understanding. F</w:t>
      </w:r>
      <w:r w:rsidDel="00000000" w:rsidR="00000000" w:rsidRPr="00000000">
        <w:rPr>
          <w:i w:val="1"/>
          <w:color w:val="222222"/>
          <w:sz w:val="28"/>
          <w:szCs w:val="28"/>
          <w:rtl w:val="0"/>
        </w:rPr>
        <w:t xml:space="preserve">or the Learning of Mathematics, 9</w:t>
      </w:r>
      <w:r w:rsidDel="00000000" w:rsidR="00000000" w:rsidRPr="00000000">
        <w:rPr>
          <w:color w:val="222222"/>
          <w:sz w:val="28"/>
          <w:szCs w:val="28"/>
          <w:rtl w:val="0"/>
        </w:rPr>
        <w:t xml:space="preserve">(3), 7–11. </w:t>
      </w:r>
      <w:hyperlink r:id="rId7">
        <w:r w:rsidDel="00000000" w:rsidR="00000000" w:rsidRPr="00000000">
          <w:rPr>
            <w:color w:val="000080"/>
            <w:sz w:val="28"/>
            <w:szCs w:val="28"/>
            <w:u w:val="single"/>
            <w:rtl w:val="0"/>
          </w:rPr>
          <w:t xml:space="preserve">https://www.jstor.org/stable/40248156</w:t>
        </w:r>
      </w:hyperlink>
      <w:r w:rsidDel="00000000" w:rsidR="00000000" w:rsidRPr="00000000">
        <w:rPr>
          <w:rtl w:val="0"/>
        </w:rPr>
      </w:r>
    </w:p>
    <w:p w:rsidR="00000000" w:rsidDel="00000000" w:rsidP="00000000" w:rsidRDefault="00000000" w:rsidRPr="00000000" w14:paraId="0000000B">
      <w:pPr>
        <w:spacing w:before="280" w:line="231.42857142857142" w:lineRule="auto"/>
        <w:rPr>
          <w:color w:val="000080"/>
          <w:sz w:val="28"/>
          <w:szCs w:val="28"/>
          <w:u w:val="single"/>
        </w:rPr>
      </w:pPr>
      <w:r w:rsidDel="00000000" w:rsidR="00000000" w:rsidRPr="00000000">
        <w:rPr>
          <w:color w:val="222222"/>
          <w:sz w:val="28"/>
          <w:szCs w:val="28"/>
          <w:rtl w:val="0"/>
        </w:rPr>
        <w:t xml:space="preserve">[3] Pirie, S. E. B. y Kieren, T. E. (1994). Growth in Mathematical Understanding: How Can We Characterise It and How Can We Represent It?. En P. Cobb (Ed.), </w:t>
      </w:r>
      <w:r w:rsidDel="00000000" w:rsidR="00000000" w:rsidRPr="00000000">
        <w:rPr>
          <w:i w:val="1"/>
          <w:color w:val="222222"/>
          <w:sz w:val="28"/>
          <w:szCs w:val="28"/>
          <w:rtl w:val="0"/>
        </w:rPr>
        <w:t xml:space="preserve">Learning Mathematics</w:t>
      </w:r>
      <w:r w:rsidDel="00000000" w:rsidR="00000000" w:rsidRPr="00000000">
        <w:rPr>
          <w:color w:val="222222"/>
          <w:sz w:val="28"/>
          <w:szCs w:val="28"/>
          <w:rtl w:val="0"/>
        </w:rPr>
        <w:t xml:space="preserve"> (pp. 61–86). Springer. </w:t>
      </w:r>
      <w:hyperlink r:id="rId8">
        <w:r w:rsidDel="00000000" w:rsidR="00000000" w:rsidRPr="00000000">
          <w:rPr>
            <w:color w:val="000080"/>
            <w:sz w:val="28"/>
            <w:szCs w:val="28"/>
            <w:u w:val="single"/>
            <w:rtl w:val="0"/>
          </w:rPr>
          <w:t xml:space="preserve">https://doi.org/10.1007/978-94-017-2057-1_3</w:t>
        </w:r>
      </w:hyperlink>
      <w:r w:rsidDel="00000000" w:rsidR="00000000" w:rsidRPr="00000000">
        <w:rPr>
          <w:rtl w:val="0"/>
        </w:rPr>
      </w:r>
    </w:p>
    <w:p w:rsidR="00000000" w:rsidDel="00000000" w:rsidP="00000000" w:rsidRDefault="00000000" w:rsidRPr="00000000" w14:paraId="0000000C">
      <w:pPr>
        <w:spacing w:before="280" w:line="231.42857142857142" w:lineRule="auto"/>
        <w:rPr>
          <w:color w:val="000080"/>
          <w:sz w:val="28"/>
          <w:szCs w:val="28"/>
          <w:u w:val="single"/>
        </w:rPr>
      </w:pPr>
      <w:r w:rsidDel="00000000" w:rsidR="00000000" w:rsidRPr="00000000">
        <w:rPr>
          <w:color w:val="222222"/>
          <w:sz w:val="28"/>
          <w:szCs w:val="28"/>
          <w:rtl w:val="0"/>
        </w:rPr>
        <w:t xml:space="preserve">[4] Vinner, S. (1983). Concept Definition, Concept Image and the Notion of Function. </w:t>
      </w:r>
      <w:r w:rsidDel="00000000" w:rsidR="00000000" w:rsidRPr="00000000">
        <w:rPr>
          <w:i w:val="1"/>
          <w:color w:val="222222"/>
          <w:sz w:val="28"/>
          <w:szCs w:val="28"/>
          <w:rtl w:val="0"/>
        </w:rPr>
        <w:t xml:space="preserve">International Journal of Mathematical Education in Science and Technology, 14</w:t>
      </w:r>
      <w:r w:rsidDel="00000000" w:rsidR="00000000" w:rsidRPr="00000000">
        <w:rPr>
          <w:color w:val="222222"/>
          <w:sz w:val="28"/>
          <w:szCs w:val="28"/>
          <w:rtl w:val="0"/>
        </w:rPr>
        <w:t xml:space="preserve">(3), 293-305. </w:t>
      </w:r>
      <w:hyperlink r:id="rId9">
        <w:r w:rsidDel="00000000" w:rsidR="00000000" w:rsidRPr="00000000">
          <w:rPr>
            <w:color w:val="000080"/>
            <w:sz w:val="28"/>
            <w:szCs w:val="28"/>
            <w:u w:val="single"/>
            <w:rtl w:val="0"/>
          </w:rPr>
          <w:t xml:space="preserve">https://doi.org/10.1080/0020739830140305</w:t>
        </w:r>
      </w:hyperlink>
      <w:r w:rsidDel="00000000" w:rsidR="00000000" w:rsidRPr="00000000">
        <w:rPr>
          <w:rtl w:val="0"/>
        </w:rPr>
      </w:r>
    </w:p>
    <w:p w:rsidR="00000000" w:rsidDel="00000000" w:rsidP="00000000" w:rsidRDefault="00000000" w:rsidRPr="00000000" w14:paraId="0000000D">
      <w:pPr>
        <w:spacing w:before="280" w:line="231.42857142857142" w:lineRule="auto"/>
        <w:rPr>
          <w:color w:val="000080"/>
          <w:sz w:val="28"/>
          <w:szCs w:val="28"/>
          <w:u w:val="single"/>
        </w:rPr>
      </w:pPr>
      <w:r w:rsidDel="00000000" w:rsidR="00000000" w:rsidRPr="00000000">
        <w:rPr>
          <w:color w:val="222222"/>
          <w:sz w:val="28"/>
          <w:szCs w:val="28"/>
          <w:rtl w:val="0"/>
        </w:rPr>
        <w:t xml:space="preserve">[5] Navas-López, E. A. (2022). Comprensión del concepto de equivalencia lógica a través del modelo de Pirie y Kieren. </w:t>
      </w:r>
      <w:r w:rsidDel="00000000" w:rsidR="00000000" w:rsidRPr="00000000">
        <w:rPr>
          <w:i w:val="1"/>
          <w:color w:val="222222"/>
          <w:sz w:val="28"/>
          <w:szCs w:val="28"/>
          <w:rtl w:val="0"/>
        </w:rPr>
        <w:t xml:space="preserve">Acta Latinoamericana de Matemática Educativa, 35</w:t>
      </w:r>
      <w:r w:rsidDel="00000000" w:rsidR="00000000" w:rsidRPr="00000000">
        <w:rPr>
          <w:color w:val="222222"/>
          <w:sz w:val="28"/>
          <w:szCs w:val="28"/>
          <w:rtl w:val="0"/>
        </w:rPr>
        <w:t xml:space="preserve">(1). </w:t>
      </w:r>
      <w:hyperlink r:id="rId10">
        <w:r w:rsidDel="00000000" w:rsidR="00000000" w:rsidRPr="00000000">
          <w:rPr>
            <w:color w:val="000080"/>
            <w:sz w:val="28"/>
            <w:szCs w:val="28"/>
            <w:u w:val="single"/>
            <w:rtl w:val="0"/>
          </w:rPr>
          <w:t xml:space="preserve">https://alme.org.mx/revista/index.php/alme/article/view/61</w:t>
        </w:r>
      </w:hyperlink>
      <w:r w:rsidDel="00000000" w:rsidR="00000000" w:rsidRPr="00000000">
        <w:rPr>
          <w:rtl w:val="0"/>
        </w:rPr>
      </w:r>
    </w:p>
    <w:p w:rsidR="00000000" w:rsidDel="00000000" w:rsidP="00000000" w:rsidRDefault="00000000" w:rsidRPr="00000000" w14:paraId="0000000E">
      <w:pPr>
        <w:spacing w:before="280" w:line="231.42857142857142" w:lineRule="auto"/>
        <w:rPr>
          <w:color w:val="000080"/>
          <w:sz w:val="28"/>
          <w:szCs w:val="28"/>
          <w:u w:val="single"/>
        </w:rPr>
      </w:pPr>
      <w:r w:rsidDel="00000000" w:rsidR="00000000" w:rsidRPr="00000000">
        <w:rPr>
          <w:color w:val="222222"/>
          <w:sz w:val="28"/>
          <w:szCs w:val="28"/>
          <w:rtl w:val="0"/>
        </w:rPr>
        <w:t xml:space="preserve">[6] Gonzales, G. (2022). Mapping Pupil’s Learning Progression Using Hand Manipulatives and Touch Screen Applications: Implications to Post-COVID-19 New Normal. E</w:t>
      </w:r>
      <w:r w:rsidDel="00000000" w:rsidR="00000000" w:rsidRPr="00000000">
        <w:rPr>
          <w:i w:val="1"/>
          <w:color w:val="222222"/>
          <w:sz w:val="28"/>
          <w:szCs w:val="28"/>
          <w:rtl w:val="0"/>
        </w:rPr>
        <w:t xml:space="preserve">ducation Research International, 2022</w:t>
      </w:r>
      <w:r w:rsidDel="00000000" w:rsidR="00000000" w:rsidRPr="00000000">
        <w:rPr>
          <w:color w:val="222222"/>
          <w:sz w:val="28"/>
          <w:szCs w:val="28"/>
          <w:rtl w:val="0"/>
        </w:rPr>
        <w:t xml:space="preserve">(1), 9976083. </w:t>
      </w:r>
      <w:hyperlink r:id="rId11">
        <w:r w:rsidDel="00000000" w:rsidR="00000000" w:rsidRPr="00000000">
          <w:rPr>
            <w:color w:val="000080"/>
            <w:sz w:val="28"/>
            <w:szCs w:val="28"/>
            <w:u w:val="single"/>
            <w:rtl w:val="0"/>
          </w:rPr>
          <w:t xml:space="preserve">https://doi.org/10.1155/2022/9976083</w:t>
        </w:r>
      </w:hyperlink>
      <w:r w:rsidDel="00000000" w:rsidR="00000000" w:rsidRPr="00000000">
        <w:rPr>
          <w:rtl w:val="0"/>
        </w:rPr>
      </w:r>
    </w:p>
    <w:p w:rsidR="00000000" w:rsidDel="00000000" w:rsidP="00000000" w:rsidRDefault="00000000" w:rsidRPr="00000000" w14:paraId="0000000F">
      <w:pPr>
        <w:spacing w:before="280" w:line="231.42857142857142" w:lineRule="auto"/>
        <w:rPr>
          <w:color w:val="000080"/>
          <w:sz w:val="28"/>
          <w:szCs w:val="28"/>
          <w:u w:val="single"/>
        </w:rPr>
      </w:pPr>
      <w:r w:rsidDel="00000000" w:rsidR="00000000" w:rsidRPr="00000000">
        <w:rPr>
          <w:color w:val="222222"/>
          <w:sz w:val="28"/>
          <w:szCs w:val="28"/>
          <w:rtl w:val="0"/>
        </w:rPr>
        <w:t xml:space="preserve">[7] Gokalp, N. D., &amp; Bulut, S. (2018). A New Form of Understanding Maps: Multiple Representations with Pirie and Kieren Model of Understanding. </w:t>
      </w:r>
      <w:r w:rsidDel="00000000" w:rsidR="00000000" w:rsidRPr="00000000">
        <w:rPr>
          <w:i w:val="1"/>
          <w:color w:val="222222"/>
          <w:sz w:val="28"/>
          <w:szCs w:val="28"/>
          <w:rtl w:val="0"/>
        </w:rPr>
        <w:t xml:space="preserve">International Journal of Innovation in Science and Mathematics Education</w:t>
      </w:r>
      <w:r w:rsidDel="00000000" w:rsidR="00000000" w:rsidRPr="00000000">
        <w:rPr>
          <w:color w:val="222222"/>
          <w:sz w:val="28"/>
          <w:szCs w:val="28"/>
          <w:rtl w:val="0"/>
        </w:rPr>
        <w:t xml:space="preserve">, </w:t>
      </w:r>
      <w:r w:rsidDel="00000000" w:rsidR="00000000" w:rsidRPr="00000000">
        <w:rPr>
          <w:i w:val="1"/>
          <w:color w:val="222222"/>
          <w:sz w:val="28"/>
          <w:szCs w:val="28"/>
          <w:rtl w:val="0"/>
        </w:rPr>
        <w:t xml:space="preserve">26</w:t>
      </w:r>
      <w:r w:rsidDel="00000000" w:rsidR="00000000" w:rsidRPr="00000000">
        <w:rPr>
          <w:color w:val="222222"/>
          <w:sz w:val="28"/>
          <w:szCs w:val="28"/>
          <w:rtl w:val="0"/>
        </w:rPr>
        <w:t xml:space="preserve">(6), 1-21. </w:t>
      </w:r>
      <w:hyperlink r:id="rId12">
        <w:r w:rsidDel="00000000" w:rsidR="00000000" w:rsidRPr="00000000">
          <w:rPr>
            <w:color w:val="000080"/>
            <w:sz w:val="28"/>
            <w:szCs w:val="28"/>
            <w:u w:val="single"/>
            <w:rtl w:val="0"/>
          </w:rPr>
          <w:t xml:space="preserve">https://openjournals.library.sydney.edu.au/CAL/article/view/12454</w:t>
        </w:r>
      </w:hyperlink>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1155/2022/9976083" TargetMode="External"/><Relationship Id="rId10" Type="http://schemas.openxmlformats.org/officeDocument/2006/relationships/hyperlink" Target="https://alme.org.mx/revista/index.php/alme/article/view/61" TargetMode="External"/><Relationship Id="rId12" Type="http://schemas.openxmlformats.org/officeDocument/2006/relationships/hyperlink" Target="https://openjournals.library.sydney.edu.au/CAL/article/view/12454" TargetMode="External"/><Relationship Id="rId9" Type="http://schemas.openxmlformats.org/officeDocument/2006/relationships/hyperlink" Target="https://doi.org/10.1080/0020739830140305" TargetMode="External"/><Relationship Id="rId5" Type="http://schemas.openxmlformats.org/officeDocument/2006/relationships/styles" Target="styles.xml"/><Relationship Id="rId6" Type="http://schemas.openxmlformats.org/officeDocument/2006/relationships/hyperlink" Target="https://relime.org/index.php/relime/article/view/546" TargetMode="External"/><Relationship Id="rId7" Type="http://schemas.openxmlformats.org/officeDocument/2006/relationships/hyperlink" Target="https://www.jstor.org/stable/40248156" TargetMode="External"/><Relationship Id="rId8" Type="http://schemas.openxmlformats.org/officeDocument/2006/relationships/hyperlink" Target="https://doi.org/10.1007/978-94-017-2057-1_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