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242424"/>
        </w:rPr>
      </w:pPr>
      <w:r w:rsidDel="00000000" w:rsidR="00000000" w:rsidRPr="00000000">
        <w:rPr>
          <w:b w:val="1"/>
          <w:color w:val="242424"/>
          <w:rtl w:val="0"/>
        </w:rPr>
        <w:t xml:space="preserve">"Comprendiendo las Operaciones con Fracciones a Través de las Regletas Cuisenaire: Un Taller para Primaria"</w:t>
      </w:r>
    </w:p>
    <w:p w:rsidR="00000000" w:rsidDel="00000000" w:rsidP="00000000" w:rsidRDefault="00000000" w:rsidRPr="00000000" w14:paraId="00000002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M.Sc Jorge Luis Chinchilla V</w:t>
      </w:r>
    </w:p>
    <w:p w:rsidR="00000000" w:rsidDel="00000000" w:rsidP="00000000" w:rsidRDefault="00000000" w:rsidRPr="00000000" w14:paraId="00000003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Instituto Tecnológico de Costa Rica</w:t>
      </w:r>
    </w:p>
    <w:p w:rsidR="00000000" w:rsidDel="00000000" w:rsidP="00000000" w:rsidRDefault="00000000" w:rsidRPr="00000000" w14:paraId="00000004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color w:val="242424"/>
        </w:rPr>
      </w:pPr>
      <w:r w:rsidDel="00000000" w:rsidR="00000000" w:rsidRPr="00000000">
        <w:rPr>
          <w:b w:val="1"/>
          <w:color w:val="242424"/>
          <w:rtl w:val="0"/>
        </w:rPr>
        <w:t xml:space="preserve">Resumen</w:t>
      </w:r>
    </w:p>
    <w:p w:rsidR="00000000" w:rsidDel="00000000" w:rsidP="00000000" w:rsidRDefault="00000000" w:rsidRPr="00000000" w14:paraId="00000006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El presente taller tiene como propósito brindar a los docentes de educación primaria herramientas didácticas para la enseñanza de las fracciones, utilizando regletas de Cuisenaire como recurso principal. Se plantean actividades prácticas orientadas a facilitar la comprensión de conceptos clave que suelen presentar dificultad en este nivel educativo, tales como la mayoricidad, las fracciones homogéneas, heterogéneas y mixtas.</w:t>
      </w:r>
    </w:p>
    <w:p w:rsidR="00000000" w:rsidDel="00000000" w:rsidP="00000000" w:rsidRDefault="00000000" w:rsidRPr="00000000" w14:paraId="00000007">
      <w:pPr>
        <w:shd w:fill="ffffff" w:val="clear"/>
        <w:rPr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El uso de las regletas permitirá que las y los estudiantes visualicen las relaciones entre fracciones y desarrollen estrategias para compararlas, ordenarlas y operar con ellas de manera significativa. En particular, se busca reforzar la comprensión de las operaciones básicas —suma, resta, multiplicación y división de fracciones— a partir de representaciones concretas que ayuden a superar los obstáculos habituales que enfrentan los niños y niñas en estos temas. Además, la propuesta propicia la participación activa del estudiantado y la atención a diversos estilos de aprendizaje, favoreciendo un acercamiento intuitivo y reflexivo al mundo de las fracciones.</w:t>
      </w:r>
    </w:p>
    <w:p w:rsidR="00000000" w:rsidDel="00000000" w:rsidP="00000000" w:rsidRDefault="00000000" w:rsidRPr="00000000" w14:paraId="00000009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rPr>
          <w:b w:val="1"/>
          <w:color w:val="242424"/>
        </w:rPr>
      </w:pPr>
      <w:r w:rsidDel="00000000" w:rsidR="00000000" w:rsidRPr="00000000">
        <w:rPr>
          <w:b w:val="1"/>
          <w:color w:val="242424"/>
          <w:rtl w:val="0"/>
        </w:rPr>
        <w:t xml:space="preserve">Requerimientos para impartir el taller: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rtl w:val="0"/>
        </w:rPr>
        <w:t xml:space="preserve">Un caballete, tabla, pared o pizarra con alfombra o algún material donde se pueda adherir el velcro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rtl w:val="0"/>
        </w:rPr>
        <w:t xml:space="preserve">Proyector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rtl w:val="0"/>
        </w:rPr>
        <w:t xml:space="preserve">Posteriormente te enviaré unas guías de trabajo para que se le de una impresa a cada participante.</w:t>
      </w:r>
    </w:p>
    <w:p w:rsidR="00000000" w:rsidDel="00000000" w:rsidP="00000000" w:rsidRDefault="00000000" w:rsidRPr="00000000" w14:paraId="0000000F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rPr>
          <w:b w:val="1"/>
          <w:color w:val="242424"/>
        </w:rPr>
      </w:pPr>
      <w:r w:rsidDel="00000000" w:rsidR="00000000" w:rsidRPr="00000000">
        <w:rPr>
          <w:b w:val="1"/>
          <w:color w:val="242424"/>
          <w:rtl w:val="0"/>
        </w:rPr>
        <w:t xml:space="preserve">Requerimientos que el público debe cumplir: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ind w:left="720" w:hanging="360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rtl w:val="0"/>
        </w:rPr>
        <w:t xml:space="preserve">Hojas blancas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ind w:left="720" w:hanging="360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rtl w:val="0"/>
        </w:rPr>
        <w:t xml:space="preserve">Lápiz de color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ind w:left="720" w:hanging="360"/>
        <w:rPr>
          <w:color w:val="242424"/>
          <w:sz w:val="24"/>
          <w:szCs w:val="24"/>
        </w:rPr>
      </w:pPr>
      <w:r w:rsidDel="00000000" w:rsidR="00000000" w:rsidRPr="00000000">
        <w:rPr>
          <w:color w:val="242424"/>
          <w:rtl w:val="0"/>
        </w:rPr>
        <w:t xml:space="preserve">Regla</w:t>
      </w:r>
    </w:p>
    <w:p w:rsidR="00000000" w:rsidDel="00000000" w:rsidP="00000000" w:rsidRDefault="00000000" w:rsidRPr="00000000" w14:paraId="00000014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rPr>
          <w:b w:val="1"/>
          <w:color w:val="242424"/>
        </w:rPr>
      </w:pPr>
      <w:r w:rsidDel="00000000" w:rsidR="00000000" w:rsidRPr="00000000">
        <w:rPr>
          <w:b w:val="1"/>
          <w:color w:val="242424"/>
          <w:rtl w:val="0"/>
        </w:rPr>
        <w:t xml:space="preserve">Capacidad máxima de personas:</w:t>
      </w:r>
    </w:p>
    <w:p w:rsidR="00000000" w:rsidDel="00000000" w:rsidP="00000000" w:rsidRDefault="00000000" w:rsidRPr="00000000" w14:paraId="00000017">
      <w:pPr>
        <w:shd w:fill="ffffff" w:val="clear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25 personas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